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3B" w:rsidRPr="00110C3B" w:rsidRDefault="00110C3B" w:rsidP="00110C3B">
      <w:pPr>
        <w:shd w:val="clear" w:color="auto" w:fill="F8F8F8"/>
        <w:jc w:val="center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0000FF"/>
          <w:sz w:val="48"/>
          <w:szCs w:val="48"/>
          <w:shd w:val="clear" w:color="auto" w:fill="FFFFFF"/>
          <w:lang w:eastAsia="es-ES_tradnl"/>
        </w:rPr>
        <w:t>Comunicado No. 4 del 2020</w:t>
      </w:r>
    </w:p>
    <w:p w:rsidR="00110C3B" w:rsidRPr="00110C3B" w:rsidRDefault="00110C3B" w:rsidP="00110C3B">
      <w:pPr>
        <w:shd w:val="clear" w:color="auto" w:fill="FFFFFF"/>
        <w:jc w:val="center"/>
        <w:rPr>
          <w:rFonts w:ascii="Helvetica" w:eastAsia="Times New Roman" w:hAnsi="Helvetica" w:cs="Times New Roman"/>
          <w:color w:val="222222"/>
          <w:lang w:eastAsia="es-ES_tradnl"/>
        </w:rPr>
      </w:pPr>
    </w:p>
    <w:p w:rsidR="00110C3B" w:rsidRPr="00110C3B" w:rsidRDefault="00110C3B" w:rsidP="00110C3B">
      <w:pPr>
        <w:shd w:val="clear" w:color="auto" w:fill="F8F8F8"/>
        <w:spacing w:after="160" w:line="209" w:lineRule="atLeast"/>
        <w:jc w:val="center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INDICACIONES ADICIONALES A LA CONTINGENCIA COVID – 19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Comunidad Neogranadina,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En concordancia con las instrucciones impartidas por el Ministerio de Salud, Alcaldía de Bogotá y demás autoridades Distritales, Nacionales e Internacionales pertinentes acerca de la alerta amarilla emitida por el COVID-19 y complementando los comunicados anteriormente emitidos, la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Universidad Militar Nueva Granada 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se permite informar a la comunidad Neogranadina las siguientes indicaciones con el fin de hacer frente a esta contingencia.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Las siguientes son las indicaciones: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A.     Medios de comunicación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B.      Protocolos institucionales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C.      Proceso admisiones y registro y control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D.     Proceso de Comunicaciones y Publicaciones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E.      Recomendaciones generales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36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A.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   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Medios de comunicación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Con el fin de centralizar las comunicaciones en la Universidad Militar Nueva Granada, y evitar desinformación o noticias falsas, se tendrán como canales oficiales de información los siguientes medios como son la Fan Page de Facebook (Universidad Militar Nueva Granada y UMNG Radio), Twitter (@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lamilitar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) e Instagram (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unimilitar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) y la cuenta de 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Youtube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 (Universidad Militar Nueva Granada), adicionalmente, para las comunicaciones internas se oficializa la página web, el correo institucional y la emisora institucional UMNG Radio como los únicos medios aprobados para informar sobre cualquier directriz o recomendación impartida.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De</w:t>
      </w:r>
      <w:r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 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igual manera se dispondrá el correo </w:t>
      </w:r>
      <w:hyperlink r:id="rId4" w:tgtFrame="_blank" w:history="1">
        <w:r w:rsidRPr="00110C3B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val="es-ES" w:eastAsia="es-ES_tradnl"/>
          </w:rPr>
          <w:t>atencionalciuda</w:t>
        </w:r>
        <w:r w:rsidRPr="00110C3B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val="es-ES" w:eastAsia="es-ES_tradnl"/>
          </w:rPr>
          <w:t>d</w:t>
        </w:r>
        <w:r w:rsidRPr="00110C3B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val="es-ES" w:eastAsia="es-ES_tradnl"/>
          </w:rPr>
          <w:t>ano@unimilitar.edu.co</w:t>
        </w:r>
      </w:hyperlink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 y el número 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lastRenderedPageBreak/>
        <w:t>telefónico 650 0000, ext. 1614 y 1691 (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Call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 Center) para asistir cualquier inquietud acerca del COVID-19, o indicaciones impartida por la Universidad Militar Nueva Granada.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36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B.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    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Protocolo institucional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El siguiente protocolo institucional tiene como fin establecer las actividades a realizar en caso de presenciar o sospechar de un caso de COVID-19 (Coronavirus) en la Comunidad Neogranadina. Los cuales se encuentran en concordancia con las directrices establecidas por los organismos Nacionales y Distritales.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</w:t>
      </w:r>
      <w:r>
        <w:rPr>
          <w:rFonts w:ascii="Helvetica" w:eastAsia="Times New Roman" w:hAnsi="Helvetica" w:cs="Times New Roman"/>
          <w:noProof/>
          <w:color w:val="222222"/>
          <w:lang w:eastAsia="es-ES_tradnl"/>
        </w:rPr>
        <w:drawing>
          <wp:inline distT="0" distB="0" distL="0" distR="0">
            <wp:extent cx="5612130" cy="4011295"/>
            <wp:effectExtent l="0" t="0" r="127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C3B" w:rsidRPr="00110C3B" w:rsidRDefault="00110C3B" w:rsidP="00110C3B">
      <w:pPr>
        <w:shd w:val="clear" w:color="auto" w:fill="F8F8F8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es-ES_tradnl"/>
        </w:rPr>
      </w:pPr>
      <w:r w:rsidRPr="00110C3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 </w:t>
      </w:r>
    </w:p>
    <w:p w:rsidR="00110C3B" w:rsidRPr="00110C3B" w:rsidRDefault="00110C3B" w:rsidP="00110C3B">
      <w:pPr>
        <w:shd w:val="clear" w:color="auto" w:fill="F8F8F8"/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es-ES_tradnl"/>
        </w:rPr>
      </w:pPr>
      <w:r w:rsidRPr="00110C3B">
        <w:rPr>
          <w:rFonts w:ascii="Times New Roman" w:eastAsia="Times New Roman" w:hAnsi="Times New Roman" w:cs="Times New Roman"/>
          <w:color w:val="222222"/>
          <w:sz w:val="22"/>
          <w:szCs w:val="22"/>
          <w:lang w:val="es-ES" w:eastAsia="es-ES_tradnl"/>
        </w:rPr>
        <w:t>  </w:t>
      </w:r>
      <w:r w:rsidRPr="00110C3B">
        <w:rPr>
          <w:rFonts w:ascii="Times New Roman" w:eastAsia="Times New Roman" w:hAnsi="Times New Roman" w:cs="Times New Roman"/>
          <w:color w:val="222222"/>
          <w:sz w:val="22"/>
          <w:szCs w:val="22"/>
          <w:lang w:eastAsia="es-ES_tradnl"/>
        </w:rPr>
        <w:t>    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36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C.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   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Proceso admisiones y registro y control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Se deberá dar prioridad a iniciar y continuar procesos de inscripción y matrícula por medio de los canales digitales establecidos que ofrece la Universidad Militar Nueva Granada para tal fin; por otro lado, cualquier información adicional que se 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lastRenderedPageBreak/>
        <w:t>tenga podrá solicitarse al correo: </w:t>
      </w:r>
      <w:hyperlink r:id="rId6" w:tgtFrame="_blank" w:history="1">
        <w:r w:rsidRPr="00110C3B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val="es-ES" w:eastAsia="es-ES_tradnl"/>
          </w:rPr>
          <w:t>división.admisiones@unimilitar.edu.co</w:t>
        </w:r>
      </w:hyperlink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y </w:t>
      </w:r>
      <w:hyperlink r:id="rId7" w:tgtFrame="_blank" w:history="1">
        <w:r w:rsidRPr="00110C3B">
          <w:rPr>
            <w:rFonts w:ascii="Verdana" w:eastAsia="Times New Roman" w:hAnsi="Verdana" w:cs="Times New Roman"/>
            <w:color w:val="0563C1"/>
            <w:sz w:val="27"/>
            <w:szCs w:val="27"/>
            <w:u w:val="single"/>
            <w:lang w:val="es-ES" w:eastAsia="es-ES_tradnl"/>
          </w:rPr>
          <w:t>admisionescampus@unimilitar.edu.co</w:t>
        </w:r>
      </w:hyperlink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 y 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al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 teléfono 650 0000 ext. 1131, 1132, 3018 o 3104.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 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36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D.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   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Proceso de Comunicaciones y Publicaciones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Con el fin de acatar las recomendaciones dadas debido a la alerta amarilla, se evaluará con la jefatura de la División de Publicaciones, Comunicación y Mercadeo la participación y desarrollo de las actividades de promoción y difusión.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Se continuará con las actividades de marketing digital y redes disponibles.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36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E.</w:t>
      </w: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     </w:t>
      </w: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Recomendaciones generales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Las siguientes recomendaciones generales son de obligatorio cumplimiento en la Comunidad Neogranadina: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 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Cuidado personal: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El Lavado de manos continuo varias veces durante la jornada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El uso de gel anti-</w:t>
      </w:r>
      <w:proofErr w:type="spellStart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bacterial</w:t>
      </w:r>
      <w:proofErr w:type="spellEnd"/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 xml:space="preserve"> o alcohol antiséptico al 70% de concentración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Hidratación constante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Si presenta síntomas de gripe leve use tapa-bocas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Evitar el contacto (estrechar la mano, abrazar, saludos de beso, etc.)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Demás recomendaciones impartidas a través de las comunicaciones oficiales de la universidad por los medios oficiales.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es-ES" w:eastAsia="es-ES_tradnl"/>
        </w:rPr>
        <w:t>Cuidado Comunidad Neogranadina: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Evitar las aglomeraciones y/o reuniones</w:t>
      </w:r>
    </w:p>
    <w:p w:rsidR="00110C3B" w:rsidRPr="00110C3B" w:rsidRDefault="00110C3B" w:rsidP="00110C3B">
      <w:pPr>
        <w:shd w:val="clear" w:color="auto" w:fill="F8F8F8"/>
        <w:spacing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t>·         Si presenta algún síntoma de COVID-19 o gripe moderada y fuerte evite desplazarse a su lugar de trabajo o estudio, y aíslese hasta ser atendido por un profesional de la salud</w:t>
      </w:r>
    </w:p>
    <w:p w:rsidR="00110C3B" w:rsidRPr="00110C3B" w:rsidRDefault="00110C3B" w:rsidP="00110C3B">
      <w:pPr>
        <w:shd w:val="clear" w:color="auto" w:fill="F8F8F8"/>
        <w:spacing w:after="160" w:line="209" w:lineRule="atLeast"/>
        <w:ind w:left="720"/>
        <w:jc w:val="both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val="es-ES" w:eastAsia="es-ES_tradnl"/>
        </w:rPr>
        <w:lastRenderedPageBreak/>
        <w:t>·         Demás recomendaciones impartidas a través de las comunicaciones oficiales de la universidad.</w:t>
      </w:r>
    </w:p>
    <w:p w:rsidR="00110C3B" w:rsidRPr="00110C3B" w:rsidRDefault="00110C3B" w:rsidP="00110C3B">
      <w:pPr>
        <w:shd w:val="clear" w:color="auto" w:fill="F8F8F8"/>
        <w:ind w:left="360"/>
        <w:jc w:val="both"/>
        <w:rPr>
          <w:rFonts w:ascii="Calibri" w:eastAsia="Times New Roman" w:hAnsi="Calibri" w:cs="Calibri"/>
          <w:color w:val="222222"/>
          <w:sz w:val="22"/>
          <w:szCs w:val="22"/>
          <w:lang w:eastAsia="es-ES_tradnl"/>
        </w:rPr>
      </w:pPr>
      <w:r w:rsidRPr="00110C3B">
        <w:rPr>
          <w:rFonts w:ascii="Times New Roman" w:eastAsia="Times New Roman" w:hAnsi="Times New Roman" w:cs="Times New Roman"/>
          <w:color w:val="222222"/>
          <w:lang w:eastAsia="es-ES_tradnl"/>
        </w:rPr>
        <w:t> </w:t>
      </w:r>
    </w:p>
    <w:p w:rsidR="00110C3B" w:rsidRPr="00110C3B" w:rsidRDefault="00110C3B" w:rsidP="00110C3B">
      <w:pPr>
        <w:shd w:val="clear" w:color="auto" w:fill="FFFFFF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36"/>
          <w:szCs w:val="36"/>
          <w:shd w:val="clear" w:color="auto" w:fill="F8F8F8"/>
          <w:lang w:eastAsia="es-ES_tradnl"/>
        </w:rPr>
        <w:t> </w:t>
      </w:r>
    </w:p>
    <w:p w:rsidR="00110C3B" w:rsidRPr="00110C3B" w:rsidRDefault="00110C3B" w:rsidP="00110C3B">
      <w:pPr>
        <w:shd w:val="clear" w:color="auto" w:fill="FFFFFF"/>
        <w:spacing w:after="160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eastAsia="es-ES_tradnl"/>
        </w:rPr>
        <w:t>Atentamente,</w:t>
      </w:r>
    </w:p>
    <w:p w:rsidR="00110C3B" w:rsidRPr="00110C3B" w:rsidRDefault="00110C3B" w:rsidP="00110C3B">
      <w:pPr>
        <w:shd w:val="clear" w:color="auto" w:fill="FFFFFF"/>
        <w:spacing w:after="160"/>
        <w:rPr>
          <w:rFonts w:ascii="Helvetica" w:eastAsia="Times New Roman" w:hAnsi="Helvetica" w:cs="Times New Roman"/>
          <w:color w:val="222222"/>
          <w:lang w:eastAsia="es-ES_tradnl"/>
        </w:rPr>
      </w:pPr>
    </w:p>
    <w:p w:rsidR="00110C3B" w:rsidRPr="00110C3B" w:rsidRDefault="00110C3B" w:rsidP="00110C3B">
      <w:pPr>
        <w:shd w:val="clear" w:color="auto" w:fill="FFFFFF"/>
        <w:spacing w:after="160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eastAsia="es-ES_tradnl"/>
        </w:rPr>
        <w:t>Brigadier General (RA) Luis Fernando Puentes Torres Ph,D</w:t>
      </w:r>
    </w:p>
    <w:p w:rsidR="00110C3B" w:rsidRPr="00110C3B" w:rsidRDefault="00110C3B" w:rsidP="00110C3B">
      <w:pPr>
        <w:shd w:val="clear" w:color="auto" w:fill="FFFFFF"/>
        <w:spacing w:after="160"/>
        <w:rPr>
          <w:rFonts w:ascii="Helvetica" w:eastAsia="Times New Roman" w:hAnsi="Helvetica" w:cs="Times New Roman"/>
          <w:color w:val="222222"/>
          <w:lang w:eastAsia="es-ES_tradnl"/>
        </w:rPr>
      </w:pPr>
      <w:r w:rsidRPr="00110C3B">
        <w:rPr>
          <w:rFonts w:ascii="Verdana" w:eastAsia="Times New Roman" w:hAnsi="Verdana" w:cs="Times New Roman"/>
          <w:color w:val="222222"/>
          <w:sz w:val="27"/>
          <w:szCs w:val="27"/>
          <w:lang w:eastAsia="es-ES_tradnl"/>
        </w:rPr>
        <w:t>Rector</w:t>
      </w:r>
    </w:p>
    <w:p w:rsidR="00BE3A78" w:rsidRDefault="00BE3A78"/>
    <w:sectPr w:rsidR="00BE3A78" w:rsidSect="0056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3B"/>
    <w:rsid w:val="00110C3B"/>
    <w:rsid w:val="00564BFD"/>
    <w:rsid w:val="00B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2A444E"/>
  <w15:chartTrackingRefBased/>
  <w15:docId w15:val="{E80B7FAA-5286-7C4B-8123-428F054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1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sionescampus@unimilitar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isi%C3%B3n.admisiones@unimilitar.edu.c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tencionalciudadano@unimilitar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jimenez</dc:creator>
  <cp:keywords/>
  <dc:description/>
  <cp:lastModifiedBy>miguel jimenez</cp:lastModifiedBy>
  <cp:revision>1</cp:revision>
  <dcterms:created xsi:type="dcterms:W3CDTF">2020-03-14T23:04:00Z</dcterms:created>
  <dcterms:modified xsi:type="dcterms:W3CDTF">2020-03-14T23:10:00Z</dcterms:modified>
</cp:coreProperties>
</file>