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087"/>
        <w:gridCol w:w="709"/>
        <w:gridCol w:w="1149"/>
        <w:gridCol w:w="739"/>
        <w:gridCol w:w="623"/>
        <w:gridCol w:w="778"/>
        <w:gridCol w:w="883"/>
        <w:gridCol w:w="641"/>
        <w:gridCol w:w="310"/>
        <w:gridCol w:w="1131"/>
      </w:tblGrid>
      <w:tr w:rsidR="00B84A57" w:rsidRPr="000954A9" w14:paraId="238784CD" w14:textId="77777777" w:rsidTr="001018DD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6D4F88B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034FB2B5" w14:textId="44194DDE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SISTEMA GENERAL DE REGALÍAS SGR  </w:t>
            </w:r>
            <w:r w:rsidR="000F56E9" w:rsidRPr="000F56E9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"FORTALECIMIENTO DE CAPACIDADES INSTALADAS DE CIENCIA Y TECNOLOGÍA DEL LABORATORIO DE LA FACULTAD DE MEDICINA Y CIENCIAS DE LA SALUD DE LA UMNG, PARA ATENDER PROBLEMÁTICAS ASOCIADAS CON AGENTES BIOLÓGICOS DE ALTO RIESGO PARA LA SALUD HUMANA EN BOGOTÁ", IDENTIFICADO CON EL BPIN NO. 2020000100101</w:t>
            </w:r>
            <w:r w:rsidR="000F56E9" w:rsidRPr="000F56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B84A57" w:rsidRPr="000954A9" w14:paraId="2DD7E288" w14:textId="77777777" w:rsidTr="001018DD">
        <w:trPr>
          <w:trHeight w:val="255"/>
        </w:trPr>
        <w:tc>
          <w:tcPr>
            <w:tcW w:w="272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0FE650C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227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4D28" w14:textId="306B39FE" w:rsidR="00B84A57" w:rsidRPr="000954A9" w:rsidRDefault="00B84B11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 la Gestión</w:t>
            </w:r>
          </w:p>
        </w:tc>
      </w:tr>
      <w:tr w:rsidR="00B84A57" w14:paraId="5FB8CC6D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1A3D91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84A57" w:rsidRPr="00A50A05" w14:paraId="14041DC2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748E3" w14:textId="582DD76D" w:rsidR="00B84A57" w:rsidRPr="001B14E2" w:rsidRDefault="00014044" w:rsidP="001B14E2">
            <w:pPr>
              <w:pStyle w:val="Default"/>
            </w:pPr>
            <w:r w:rsidRPr="0001404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Profesional en </w:t>
            </w:r>
            <w:r w:rsidR="00D810B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Bacteriología</w:t>
            </w:r>
            <w:r w:rsid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, </w:t>
            </w:r>
            <w:r w:rsidR="00D810B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magister </w:t>
            </w:r>
            <w:r w:rsidR="001B14E2" w:rsidRPr="001B14E2">
              <w:rPr>
                <w:rFonts w:asciiTheme="majorHAnsi" w:hAnsiTheme="majorHAnsi" w:cstheme="majorHAnsi"/>
                <w:sz w:val="20"/>
                <w:szCs w:val="20"/>
              </w:rPr>
              <w:t xml:space="preserve">en </w:t>
            </w:r>
            <w:r w:rsidR="00D810B2">
              <w:rPr>
                <w:rFonts w:asciiTheme="majorHAnsi" w:hAnsiTheme="majorHAnsi" w:cstheme="majorHAnsi"/>
                <w:sz w:val="20"/>
                <w:szCs w:val="20"/>
              </w:rPr>
              <w:t>microbiología</w:t>
            </w:r>
            <w:r w:rsidR="001B14E2" w:rsidRPr="001B14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D810B2" w:rsidRPr="00D810B2">
              <w:rPr>
                <w:rFonts w:asciiTheme="majorHAnsi" w:hAnsiTheme="majorHAnsi" w:cstheme="majorHAnsi"/>
                <w:sz w:val="20"/>
                <w:szCs w:val="20"/>
              </w:rPr>
              <w:t>con doctorado en ciencias Biológicas y/o</w:t>
            </w:r>
            <w:r w:rsidR="00D810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Áreas afines.</w:t>
            </w:r>
            <w:r w:rsidR="00B84A57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</w:t>
            </w:r>
            <w:r w:rsidR="000F56E9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"</w:t>
            </w:r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Bpin</w:t>
            </w:r>
            <w:proofErr w:type="spellEnd"/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No. 2020000100101</w:t>
            </w:r>
            <w:r w:rsid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”</w:t>
            </w:r>
          </w:p>
        </w:tc>
      </w:tr>
      <w:tr w:rsidR="00B84A57" w:rsidRPr="000954A9" w14:paraId="13EE8DE6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CF66786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B84A57" w:rsidRPr="002C4EEA" w14:paraId="06E08A15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077ACC" w14:textId="77777777" w:rsidR="00B60452" w:rsidRPr="00B60452" w:rsidRDefault="00D810B2" w:rsidP="000140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Bacteriólogo, magister </w:t>
            </w:r>
            <w:r w:rsidRPr="001B14E2">
              <w:rPr>
                <w:rFonts w:asciiTheme="majorHAnsi" w:hAnsiTheme="majorHAnsi" w:cstheme="majorHAnsi"/>
                <w:sz w:val="20"/>
                <w:szCs w:val="20"/>
              </w:rPr>
              <w:t xml:space="preserve">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microbiología</w:t>
            </w:r>
            <w:r w:rsidRPr="001B14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810B2">
              <w:rPr>
                <w:rFonts w:asciiTheme="majorHAnsi" w:hAnsiTheme="majorHAnsi" w:cstheme="majorHAnsi"/>
                <w:sz w:val="20"/>
                <w:szCs w:val="20"/>
              </w:rPr>
              <w:t>con doctorado en</w:t>
            </w:r>
            <w:r w:rsidR="00B60452">
              <w:rPr>
                <w:rFonts w:asciiTheme="majorHAnsi" w:hAnsiTheme="majorHAnsi" w:cstheme="majorHAnsi"/>
                <w:sz w:val="20"/>
                <w:szCs w:val="20"/>
              </w:rPr>
              <w:t xml:space="preserve"> C</w:t>
            </w:r>
            <w:r w:rsidRPr="00D810B2">
              <w:rPr>
                <w:rFonts w:asciiTheme="majorHAnsi" w:hAnsiTheme="majorHAnsi" w:cstheme="majorHAnsi"/>
                <w:sz w:val="20"/>
                <w:szCs w:val="20"/>
              </w:rPr>
              <w:t>iencias Biológicas y/o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Áreas afines.</w:t>
            </w:r>
          </w:p>
          <w:p w14:paraId="55AA71E7" w14:textId="57C5AD3D" w:rsidR="00B84A57" w:rsidRPr="00C555AB" w:rsidRDefault="00B84A57" w:rsidP="00C555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laboral </w:t>
            </w:r>
            <w:r w:rsidR="000140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especifica 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certificada mínima de </w:t>
            </w:r>
            <w:r w:rsidR="006775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</w:t>
            </w:r>
            <w:r w:rsidR="00E53D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C918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</w:t>
            </w:r>
            <w:r w:rsidR="00C674C4" w:rsidRPr="00C674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Trabajo directo en procesos de biología celular y biología molecular. Implementación de los procesos de operación del laboratorio de diagnóstico molecular.</w:t>
            </w:r>
          </w:p>
        </w:tc>
      </w:tr>
      <w:tr w:rsidR="00B84A57" w:rsidRPr="000954A9" w14:paraId="6A65616E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F1DEEF7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B84A57" w:rsidRPr="000954A9" w14:paraId="2EEDE2F7" w14:textId="77777777" w:rsidTr="001018DD">
        <w:trPr>
          <w:trHeight w:val="255"/>
        </w:trPr>
        <w:tc>
          <w:tcPr>
            <w:tcW w:w="234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1C9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265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7A48" w14:textId="09A74A4B" w:rsidR="00B84A57" w:rsidRPr="00C555AB" w:rsidRDefault="00C555AB" w:rsidP="00C555AB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555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Bacteriólogo, magister </w:t>
            </w:r>
            <w:r w:rsidRPr="00C555AB">
              <w:rPr>
                <w:rFonts w:asciiTheme="majorHAnsi" w:hAnsiTheme="majorHAnsi" w:cstheme="majorHAnsi"/>
                <w:sz w:val="20"/>
                <w:szCs w:val="20"/>
              </w:rPr>
              <w:t>en microbiología</w:t>
            </w:r>
            <w:r w:rsidRPr="00C555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C555AB">
              <w:rPr>
                <w:rFonts w:asciiTheme="majorHAnsi" w:hAnsiTheme="majorHAnsi" w:cstheme="majorHAnsi"/>
                <w:sz w:val="20"/>
                <w:szCs w:val="20"/>
              </w:rPr>
              <w:t>con doctorado en Ciencias Biológicas y/o</w:t>
            </w:r>
            <w:r w:rsidRPr="00C555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C555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Áreas afines.</w:t>
            </w:r>
          </w:p>
        </w:tc>
      </w:tr>
      <w:tr w:rsidR="00AB37AB" w:rsidRPr="000954A9" w14:paraId="1B74DD9B" w14:textId="77777777" w:rsidTr="001018DD">
        <w:trPr>
          <w:trHeight w:val="255"/>
        </w:trPr>
        <w:tc>
          <w:tcPr>
            <w:tcW w:w="234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2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7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E4DB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8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AE28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D1A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42C3BB6C" w14:textId="77777777" w:rsidTr="001018DD">
        <w:trPr>
          <w:trHeight w:val="255"/>
        </w:trPr>
        <w:tc>
          <w:tcPr>
            <w:tcW w:w="234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02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2656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A16E" w14:textId="5F6A766A" w:rsidR="00B84A57" w:rsidRPr="000954A9" w:rsidRDefault="00C91853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AB37AB" w:rsidRPr="000954A9" w14:paraId="13291E0F" w14:textId="77777777" w:rsidTr="001018DD">
        <w:trPr>
          <w:trHeight w:val="255"/>
        </w:trPr>
        <w:tc>
          <w:tcPr>
            <w:tcW w:w="23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C7E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5AF2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8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25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67EF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70B9651A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72DDF2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B37AB" w:rsidRPr="00946B52" w14:paraId="1B18D038" w14:textId="77777777" w:rsidTr="001018DD">
        <w:trPr>
          <w:trHeight w:val="121"/>
        </w:trPr>
        <w:tc>
          <w:tcPr>
            <w:tcW w:w="13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8EA2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D349DD1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69720E8" w14:textId="77777777" w:rsidR="00B84A57" w:rsidRPr="00E87041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años: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7ED65725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FDA11BC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6BE75DB1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17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6024E02" w14:textId="77777777" w:rsidR="00B84A57" w:rsidRPr="00946B52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195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1775C32" w14:textId="77777777" w:rsidR="00B84A57" w:rsidRPr="00946B52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B37AB" w:rsidRPr="00946B52" w14:paraId="3604BFAE" w14:textId="77777777" w:rsidTr="001018DD">
        <w:trPr>
          <w:trHeight w:val="418"/>
        </w:trPr>
        <w:tc>
          <w:tcPr>
            <w:tcW w:w="134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8B6F5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9AD6" w14:textId="2F1794E1" w:rsidR="00B84A57" w:rsidRPr="00E87041" w:rsidRDefault="00B84A57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058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E8AB" w14:textId="3BE3F66B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iderazgo para el cambio:_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DBAA" w14:textId="36D45205" w:rsidR="00B84A57" w:rsidRPr="00C91853" w:rsidRDefault="00C91853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entorno: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7768B823" w14:textId="77777777" w:rsidTr="001018DD">
        <w:trPr>
          <w:trHeight w:val="119"/>
        </w:trPr>
        <w:tc>
          <w:tcPr>
            <w:tcW w:w="134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5584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AAF5" w14:textId="466B3D10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22D" w14:textId="2B91166F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288" w14:textId="2BFBDB6D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0130DE66" w14:textId="77777777" w:rsidTr="001018DD">
        <w:trPr>
          <w:trHeight w:val="119"/>
        </w:trPr>
        <w:tc>
          <w:tcPr>
            <w:tcW w:w="134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016B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0C28" w14:textId="5B04C416" w:rsidR="00B84A57" w:rsidRPr="00C91853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53C4" w14:textId="1450BDB8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 ___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C25" w14:textId="078FDEFD" w:rsidR="00B84A57" w:rsidRPr="00C91853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Estratégico: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3E2B9A8F" w14:textId="77777777" w:rsidTr="001018DD">
        <w:trPr>
          <w:trHeight w:val="281"/>
        </w:trPr>
        <w:tc>
          <w:tcPr>
            <w:tcW w:w="134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9232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6946" w14:textId="7AFC6C6A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ión y desarrollo principal: ___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0F5" w14:textId="36B742EC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</w:t>
            </w:r>
            <w:r w:rsidR="007058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2844" w14:textId="71D9D86A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C555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</w:tr>
      <w:tr w:rsidR="00AB37AB" w:rsidRPr="00946B52" w14:paraId="138B8A8D" w14:textId="77777777" w:rsidTr="001018DD">
        <w:trPr>
          <w:trHeight w:val="119"/>
        </w:trPr>
        <w:tc>
          <w:tcPr>
            <w:tcW w:w="134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4255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D4F" w14:textId="5330BB2F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omiso con la organización: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3603" w14:textId="059F062E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trámite: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E3BC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84A57" w:rsidRPr="000954A9" w14:paraId="5115AEC8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B4F023C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B84A57" w:rsidRPr="000954A9" w14:paraId="54E52452" w14:textId="77777777" w:rsidTr="001018DD">
        <w:trPr>
          <w:trHeight w:val="13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82A90A" w14:textId="773D1900" w:rsidR="004A4D42" w:rsidRPr="0027609D" w:rsidRDefault="004A4D42" w:rsidP="004A4D4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A4D42">
              <w:rPr>
                <w:rFonts w:asciiTheme="majorHAnsi" w:hAnsiTheme="majorHAnsi" w:cstheme="majorHAnsi"/>
                <w:sz w:val="20"/>
                <w:szCs w:val="20"/>
              </w:rPr>
              <w:t xml:space="preserve">El Contratista se compromete con la Universidad Militar Nueva </w:t>
            </w:r>
            <w:proofErr w:type="gramStart"/>
            <w:r w:rsidRPr="004A4D42">
              <w:rPr>
                <w:rFonts w:asciiTheme="majorHAnsi" w:hAnsiTheme="majorHAnsi" w:cstheme="majorHAnsi"/>
                <w:sz w:val="20"/>
                <w:szCs w:val="20"/>
              </w:rPr>
              <w:t>Granada  a</w:t>
            </w:r>
            <w:proofErr w:type="gramEnd"/>
            <w:r w:rsidRPr="004A4D42">
              <w:rPr>
                <w:rFonts w:asciiTheme="majorHAnsi" w:hAnsiTheme="majorHAnsi" w:cstheme="majorHAnsi"/>
                <w:sz w:val="20"/>
                <w:szCs w:val="20"/>
              </w:rPr>
              <w:t xml:space="preserve"> prestar por sus propios medios, con plena autonomía, sus servicios como profesional con el liderazgo para implementar y ejecutar la realización de las pruebas de biología molecular y serológicas para diagnóstico de agentes patógenos en salud Humana para diferentes patologías infectocontagiosas y de enfermedades tropicales como </w:t>
            </w:r>
            <w:proofErr w:type="spellStart"/>
            <w:r w:rsidRPr="004A4D42">
              <w:rPr>
                <w:rFonts w:asciiTheme="majorHAnsi" w:hAnsiTheme="majorHAnsi" w:cstheme="majorHAnsi"/>
                <w:sz w:val="20"/>
                <w:szCs w:val="20"/>
              </w:rPr>
              <w:t>Covid</w:t>
            </w:r>
            <w:proofErr w:type="spellEnd"/>
            <w:r w:rsidRPr="004A4D42">
              <w:rPr>
                <w:rFonts w:asciiTheme="majorHAnsi" w:hAnsiTheme="majorHAnsi" w:cstheme="majorHAnsi"/>
                <w:sz w:val="20"/>
                <w:szCs w:val="20"/>
              </w:rPr>
              <w:t xml:space="preserve"> - 19, </w:t>
            </w:r>
            <w:proofErr w:type="spellStart"/>
            <w:r w:rsidRPr="004A4D42">
              <w:rPr>
                <w:rFonts w:asciiTheme="majorHAnsi" w:hAnsiTheme="majorHAnsi" w:cstheme="majorHAnsi"/>
                <w:sz w:val="20"/>
                <w:szCs w:val="20"/>
              </w:rPr>
              <w:t>Zika</w:t>
            </w:r>
            <w:proofErr w:type="spellEnd"/>
            <w:r w:rsidRPr="004A4D42">
              <w:rPr>
                <w:rFonts w:asciiTheme="majorHAnsi" w:hAnsiTheme="majorHAnsi" w:cstheme="majorHAnsi"/>
                <w:sz w:val="20"/>
                <w:szCs w:val="20"/>
              </w:rPr>
              <w:t xml:space="preserve">, H1N1, </w:t>
            </w:r>
            <w:proofErr w:type="spellStart"/>
            <w:r w:rsidRPr="004A4D42">
              <w:rPr>
                <w:rFonts w:asciiTheme="majorHAnsi" w:hAnsiTheme="majorHAnsi" w:cstheme="majorHAnsi"/>
                <w:sz w:val="20"/>
                <w:szCs w:val="20"/>
              </w:rPr>
              <w:t>Chikunguña</w:t>
            </w:r>
            <w:proofErr w:type="spellEnd"/>
            <w:r w:rsidRPr="004A4D42">
              <w:rPr>
                <w:rFonts w:asciiTheme="majorHAnsi" w:hAnsiTheme="majorHAnsi" w:cstheme="majorHAnsi"/>
                <w:sz w:val="20"/>
                <w:szCs w:val="20"/>
              </w:rPr>
              <w:t>, entre otros. Requiriendo su participación activa en los procesos de documentación de manuales, procedimientos y estandarizaciones de las técnicas a aplicar. Apoyo y Gestión en el proceso de implementación, habilitación y acreditación del laboratorio de diagnóstico molecular. Actividades dentro del marco del proyecto "Fortalecimiento de capacidades instaladas de Ciencia y Tecnología del laboratorio de la Facultad de Medicina y Ciencias de la Salud de la UMNG, para atender problemáticas asociadas con agentes biológicos de alto riesgo para la salud humana en Bogotá" BPIN 2020000100101</w:t>
            </w:r>
          </w:p>
          <w:p w14:paraId="47DF1994" w14:textId="3E7D93AD" w:rsidR="0027609D" w:rsidRPr="0027609D" w:rsidRDefault="0027609D" w:rsidP="004A4D4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A57" w:rsidRPr="000954A9" w14:paraId="28752784" w14:textId="77777777" w:rsidTr="001018DD">
        <w:trPr>
          <w:trHeight w:val="255"/>
        </w:trPr>
        <w:tc>
          <w:tcPr>
            <w:tcW w:w="304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4AA8" w14:textId="5F95C606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Facultad: </w:t>
            </w:r>
          </w:p>
        </w:tc>
        <w:tc>
          <w:tcPr>
            <w:tcW w:w="195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0C4F" w14:textId="0FDAC001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</w:t>
            </w:r>
          </w:p>
        </w:tc>
      </w:tr>
      <w:tr w:rsidR="00B84A57" w:rsidRPr="000954A9" w14:paraId="0351134C" w14:textId="77777777" w:rsidTr="001018DD">
        <w:trPr>
          <w:trHeight w:val="270"/>
        </w:trPr>
        <w:tc>
          <w:tcPr>
            <w:tcW w:w="304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9AD40" w14:textId="26B1A83F" w:rsidR="00B84A57" w:rsidRPr="000954A9" w:rsidRDefault="00E53DC4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Medicina</w:t>
            </w:r>
          </w:p>
        </w:tc>
        <w:tc>
          <w:tcPr>
            <w:tcW w:w="195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82FDE" w14:textId="4EB5C864" w:rsidR="00B84A57" w:rsidRPr="000954A9" w:rsidRDefault="00E53DC4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Facultad de Medicina</w:t>
            </w:r>
            <w:r w:rsidR="00B84A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UMNG – Laboratorio Molecular - </w:t>
            </w:r>
            <w:proofErr w:type="spellStart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687FF16" w14:textId="77777777" w:rsidTr="004A4D42">
        <w:trPr>
          <w:trHeight w:val="39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EE33" w14:textId="35B99986" w:rsidR="00B84A57" w:rsidRPr="000954A9" w:rsidRDefault="00B84A57" w:rsidP="00B84B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Tiempo a contratar (meses): </w:t>
            </w:r>
            <w:r w:rsidR="002C56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 meses</w:t>
            </w:r>
          </w:p>
        </w:tc>
      </w:tr>
      <w:tr w:rsidR="00B84A57" w:rsidRPr="000954A9" w14:paraId="3AE66F57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A51B054" w14:textId="5190DD0B" w:rsidR="00B84A57" w:rsidRPr="000954A9" w:rsidRDefault="000F2800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="00B84A5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 w:rsid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B84A57" w:rsidRPr="00014044" w14:paraId="6770AD38" w14:textId="77777777" w:rsidTr="004A4D42">
        <w:trPr>
          <w:trHeight w:val="92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9E36C2" w14:textId="4A3A3A9D" w:rsidR="00B84A57" w:rsidRPr="002C560C" w:rsidRDefault="008E6E99" w:rsidP="002C56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C56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Verificar y documentar los procesos aceptados nacional e internacionalmente para procesar muestras COVID 19, mediante la técnica de </w:t>
            </w:r>
            <w:proofErr w:type="spellStart"/>
            <w:r w:rsidRPr="002C56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qRT</w:t>
            </w:r>
            <w:proofErr w:type="spellEnd"/>
            <w:r w:rsidRPr="002C56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PCR</w:t>
            </w:r>
          </w:p>
          <w:p w14:paraId="255606AF" w14:textId="70C2635D" w:rsidR="008E6E99" w:rsidRDefault="008E6E99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Evaluar las necesidades de tecnología e insumos que requieren los procesos de biología molecular para el procesamiento de muestras en el rango de 0 a 1.000 muestras. Establecer convenios con entidades externas como Insti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tu</w:t>
            </w: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to Nacional de Salud y otros para homologación de técnicas y procesos moleculares.</w:t>
            </w:r>
          </w:p>
          <w:p w14:paraId="661762DF" w14:textId="77777777" w:rsidR="008E6E99" w:rsidRDefault="008E6E99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Verificar y documentar los protocolos nacionales para desarrollar capacitación inicial y permanente al equipo de trabajo del laboratorio para procesar muestras COVID 19 y otras que sean necesarias en el laboratorio.</w:t>
            </w: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1EB9674B" w14:textId="77777777" w:rsidR="008E6E99" w:rsidRDefault="008E6E99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Identificar los proveedores nacionales e internacionales para la compra de equipos e insumos para lectura de muestras COVID 19 y de otros procesos requeridos en el laboratorio.</w:t>
            </w: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5FE5F6AF" w14:textId="086FE1FB" w:rsidR="008E6E99" w:rsidRDefault="008E6E99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Elaborar los manuales y documentación de cumplimiento de estándares de la </w:t>
            </w:r>
            <w:r w:rsidR="004A4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secretaria</w:t>
            </w: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Salud de Bogotá para la correspondiente Habilitación del servicio de lectura de muestras según del Decreto 3100 de 2019, Resolución 2003 de 2014, Decreto 780 de 2016 y las Circulares y normas que los complementen o que los sustituyan.</w:t>
            </w:r>
            <w:r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344206BA" w14:textId="019A01CF" w:rsidR="0056730C" w:rsidRDefault="0056730C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Integrar </w:t>
            </w:r>
            <w:r w:rsidR="00010D87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información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que sirva de insumo para modelamiento matemático en los proyectos.</w:t>
            </w:r>
          </w:p>
          <w:p w14:paraId="0888F5D4" w14:textId="5C41494A" w:rsidR="0056730C" w:rsidRDefault="0056730C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Implementar el software de diagnóstico y reporte de resultados a las </w:t>
            </w:r>
            <w:r w:rsidR="004A4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secretarias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Salud y entidades correspondientes.</w:t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0A376680" w14:textId="2C85BA3F" w:rsidR="0056730C" w:rsidRDefault="0056730C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Organizar y dirigir los procesos de registro y back up de </w:t>
            </w:r>
            <w:r w:rsidR="00010D87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información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de insumos y de muestras para cada uno de los pacientes diagnosticados ya sean positivos o negativos.</w:t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686F76CE" w14:textId="5EECD913" w:rsidR="0056730C" w:rsidRDefault="0056730C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Operativizar</w:t>
            </w:r>
            <w:proofErr w:type="spellEnd"/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el funcionamiento del laboratorio con los correspondientes manuales de funcionamiento derivados de las normas enunciadas en el numeral 5 o que se requieran para el correcto </w:t>
            </w:r>
            <w:r w:rsidR="00010D87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funcionamiento,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aunque no </w:t>
            </w:r>
            <w:r w:rsidR="00010D87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estén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contempladas en dichas normas.</w:t>
            </w:r>
          </w:p>
          <w:p w14:paraId="0755E575" w14:textId="5DBD6F05" w:rsidR="0056730C" w:rsidRDefault="0056730C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Consecución de hojas de vida y </w:t>
            </w:r>
            <w:r w:rsidR="00010D87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entrenamiento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específico en el proceso completo o partes del mismo para el personal nuevo y el que sea necesario contratar posteriormente durante el funcionamiento del laboratorio.</w:t>
            </w:r>
          </w:p>
          <w:p w14:paraId="09D59D32" w14:textId="7A3D6FD4" w:rsidR="0056730C" w:rsidRDefault="0056730C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Coordinar con la dependencia correspondiente de la UMNG y proveedores externos la compra de reactivos, </w:t>
            </w:r>
            <w:r w:rsidR="00010D87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nitrógeno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10D87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líquido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y demás insumos necesarios para el funcionamiento del laboratorio.</w:t>
            </w:r>
          </w:p>
          <w:p w14:paraId="09E9FBA9" w14:textId="240AEE8B" w:rsidR="0056730C" w:rsidRDefault="0056730C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Programar los manteni</w:t>
            </w:r>
            <w:r w:rsidR="0001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entos que requieren los equipos del laboratorio para el correcto funcionamiento con la debida frecuencia y con las consideraciones de </w:t>
            </w:r>
            <w:r w:rsidR="00010D87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conocimiento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experiencia en este tipo de equipos.</w:t>
            </w:r>
          </w:p>
          <w:p w14:paraId="10001C74" w14:textId="776542AE" w:rsidR="0056730C" w:rsidRDefault="00010D87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Diseño</w:t>
            </w:r>
            <w:r w:rsidR="0056730C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curso de 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capacitación</w:t>
            </w:r>
            <w:r w:rsidR="0056730C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entrenamientos complementarios; 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Identificación</w:t>
            </w:r>
            <w:r w:rsidR="0056730C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los contenidos a contratar para 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capacitación</w:t>
            </w:r>
            <w:r w:rsidR="0056730C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entrenamientos</w:t>
            </w:r>
            <w:r w:rsidR="0056730C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complementarios relacionados con la operación del laboratorio y </w:t>
            </w:r>
            <w:r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presentación</w:t>
            </w:r>
            <w:r w:rsidR="0056730C" w:rsidRPr="00567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propuestas para ejecución.</w:t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159DA8C4" w14:textId="4A1A0573" w:rsidR="005E79B8" w:rsidRDefault="005E79B8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E7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Acompañamiento permanente al proceso de lectura y </w:t>
            </w:r>
            <w:r w:rsidR="00010D87" w:rsidRPr="005E7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operación</w:t>
            </w:r>
            <w:r w:rsidRPr="005E7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normal del laboratorio para implementar de manera oportuna los ajustes necesarios al proceso.</w:t>
            </w:r>
          </w:p>
          <w:p w14:paraId="179DD9C1" w14:textId="6544CFE2" w:rsidR="005E79B8" w:rsidRDefault="00010D87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E7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Coordinación</w:t>
            </w:r>
            <w:r w:rsidR="005E79B8" w:rsidRPr="005E7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</w:t>
            </w:r>
            <w:r w:rsidRPr="005E7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ecretaria</w:t>
            </w:r>
            <w:r w:rsidR="005E79B8" w:rsidRPr="005E7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Salud Distrital para dar prioridad a la lectura de muestras de allí provenientes; igualmente contactará a otros hospitales, centros de salud, alcaldías para establecer convenios para la lectura de muestras que se requieran.</w:t>
            </w:r>
          </w:p>
          <w:p w14:paraId="2BFAF427" w14:textId="77777777" w:rsidR="008E6E99" w:rsidRDefault="005E79B8" w:rsidP="00010D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6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E7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Cada mes entregará un informe que dará cuenta de la implementación y ejecución de actividades en el laboratorio en coordinación con dependencias internas de la UMNG y en coordinación con entidades externas como son las secretarias de salud, hospitales y otros.</w:t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8E6E99" w:rsidRPr="008E6E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7D0D0F57" w14:textId="77777777" w:rsidR="002C560C" w:rsidRDefault="002C560C" w:rsidP="002C56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3F7B235" w14:textId="77777777" w:rsidR="002C560C" w:rsidRDefault="002C560C" w:rsidP="002C56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20C4B57B" w14:textId="77777777" w:rsidR="002C560C" w:rsidRDefault="002C560C" w:rsidP="002C56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2B51427E" w14:textId="607C6F3F" w:rsidR="002C560C" w:rsidRPr="002C560C" w:rsidRDefault="002C560C" w:rsidP="002C56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A57" w:rsidRPr="000954A9" w14:paraId="044758F6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8B22830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BCBA64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B84A57" w14:paraId="76E14346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C858C" w14:textId="77777777" w:rsidR="00B84A57" w:rsidRDefault="00B84A57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1</w:t>
            </w: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0C1DD6" w14:textId="62965F68" w:rsidR="00B84A57" w:rsidRPr="00B84B11" w:rsidRDefault="00C413C6" w:rsidP="002C560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Entrega de informe mensual de actividades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verificación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cumpli</w:t>
            </w:r>
            <w:r w:rsidR="003B7B3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mien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to de actividades según cronograma; 1.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un documento con la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verificación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nacional e internacional de protocolos COVID 19. Lectura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técnica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qRT</w:t>
            </w:r>
            <w:proofErr w:type="spellEnd"/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-PCR. 2.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un documento con la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verificación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nacional e internacional de protocolos COVID 19. Lectura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técnica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qRT</w:t>
            </w:r>
            <w:proofErr w:type="spellEnd"/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-PCR. 3. Documento con otros protocolos nacionales utilizados para la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lectura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muestras COVID 19.  4. Documento con la identificación de proveedores nacionales e internacionales de equipos e insumos.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Indicador;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Documentos.</w:t>
            </w:r>
          </w:p>
        </w:tc>
      </w:tr>
      <w:tr w:rsidR="00B84A57" w14:paraId="68A39529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2DE8B" w14:textId="0816BB34" w:rsidR="00B84A57" w:rsidRDefault="00B84B11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205681" w14:textId="75B5AB0E" w:rsidR="00B84A57" w:rsidRPr="00AB37AB" w:rsidRDefault="00C413C6" w:rsidP="002C560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Entrega de informe mensual de actividades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verificación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cumplim</w:t>
            </w:r>
            <w:r w:rsidR="003B7B3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iento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actividades según cronograma: 1. Evaluar las necesidades de tecnología e insumos que requieren los procesos de biología molecular para el procesamiento de muestras en el rango de 0 a 1.000 muestras, en concordancia con los equipos que se van a adquirir a través de este </w:t>
            </w:r>
            <w:r w:rsidR="003B7B3B"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proyecto. Indicador</w:t>
            </w:r>
            <w:r w:rsidRPr="00C413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Documento.</w:t>
            </w:r>
            <w:bookmarkStart w:id="0" w:name="_GoBack"/>
            <w:bookmarkEnd w:id="0"/>
          </w:p>
        </w:tc>
      </w:tr>
      <w:tr w:rsidR="00B84A57" w14:paraId="79E6927F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E414D" w14:textId="7CEB5243" w:rsidR="00B84A57" w:rsidRDefault="00AB37AB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EDCB23" w14:textId="3F589708" w:rsidR="00C9799E" w:rsidRDefault="00C9799E" w:rsidP="002C560C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Entrega de informe mensual de actividades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verificación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cumpli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mient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 de actividades según cronograma: 1. Manuales de funcionamiento y cumplimento de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estándares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habilitación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según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la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resolución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3100 de 2019. Coordinar actividades de vista de entidades externas para el proceso de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habilitación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como son; Bomberos, Visita de sanidad del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Hospital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Distrital designado, visita de la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comisión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</w:t>
            </w:r>
            <w:r w:rsidR="003B7B3B">
              <w:rPr>
                <w:rFonts w:ascii="Cambria" w:hAnsi="Cambria" w:cs="Calibri"/>
                <w:color w:val="000000"/>
                <w:sz w:val="20"/>
                <w:szCs w:val="20"/>
              </w:rPr>
              <w:t>verificación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la secretaria distrital y departamental de Salud,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respectivamente Indicador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; Documento.</w:t>
            </w:r>
          </w:p>
          <w:p w14:paraId="603C0707" w14:textId="591EA7A8" w:rsidR="00B84A57" w:rsidRPr="00AB37AB" w:rsidRDefault="00B84A57" w:rsidP="002C560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413C6" w14:paraId="160A1EE2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6DB82F" w14:textId="77777777" w:rsidR="00C413C6" w:rsidRDefault="00C9799E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  <w:p w14:paraId="7977BA09" w14:textId="601AE26F" w:rsidR="00C9799E" w:rsidRDefault="00C9799E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BC53D8" w14:textId="1ACBE93F" w:rsidR="00C9799E" w:rsidRDefault="00C9799E" w:rsidP="002C560C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Entrega de informe mensual de actividades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verificación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cumpli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mie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nto de actividades según cronograma: 1. Manuales de funcionamiento y cumplimento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estándares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habilitación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según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la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resolución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3100 de 2019. Coordinar actividades de vista de entidades externas para el proceso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habilitación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como son; Bomberos, Visita de sanidad del Ho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pital Distrital designado, visita de la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comisión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verificación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la secretaria distrital y departamental de Salud,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respectivamente Indicador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; Documento.</w:t>
            </w:r>
          </w:p>
          <w:p w14:paraId="0128D1ED" w14:textId="77777777" w:rsidR="00C413C6" w:rsidRPr="00AB37AB" w:rsidRDefault="00C413C6" w:rsidP="002C560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413C6" w14:paraId="226BFF5F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2D3736" w14:textId="463FA037" w:rsidR="00C413C6" w:rsidRDefault="00C9799E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E2B9EF" w14:textId="2559E217" w:rsidR="00C9799E" w:rsidRDefault="00C9799E" w:rsidP="002C560C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Entrega de informe mensual de actividades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verificación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cumpli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mi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ento de actividades según cronograma: 1. Manuales de funcionamiento y cumplimento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estándares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habilitación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según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la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resolución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3100 de 2019. Entrega de documento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capacitación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paso a paso del protocolo implementado y estandarizado en el laboratorio para lectura de muestras COVID 19 y otros.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Indicador; Documento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 xml:space="preserve">2. Informe sobre resultados del proceso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capacitación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  <w:p w14:paraId="7EABDDE1" w14:textId="77777777" w:rsidR="00C413C6" w:rsidRPr="00AB37AB" w:rsidRDefault="00C413C6" w:rsidP="002C560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413C6" w14:paraId="67704547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85388" w14:textId="11F24038" w:rsidR="00C413C6" w:rsidRDefault="00C9799E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81414A" w14:textId="65886DFE" w:rsidR="00C9799E" w:rsidRDefault="002C560C" w:rsidP="002C560C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Documentos resultados</w:t>
            </w:r>
            <w:r w:rsidR="00C9799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del proceso de visitas externas para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habilitación</w:t>
            </w:r>
            <w:r w:rsidR="00C9799E">
              <w:rPr>
                <w:rFonts w:ascii="Cambria" w:hAnsi="Cambria" w:cs="Calibri"/>
                <w:color w:val="000000"/>
                <w:sz w:val="20"/>
                <w:szCs w:val="20"/>
              </w:rPr>
              <w:t>; 1. Informe de Visita Comisión de las Secretarias de Salud Departamental y Distrital, 2. Bomberos, Hospital Distrital designado y otros.</w:t>
            </w:r>
          </w:p>
          <w:p w14:paraId="05E96FBC" w14:textId="77777777" w:rsidR="00C413C6" w:rsidRPr="00AB37AB" w:rsidRDefault="00C413C6" w:rsidP="002C560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413C6" w14:paraId="27038627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D3AB69" w14:textId="15964D7B" w:rsidR="00C413C6" w:rsidRDefault="00C9799E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3A455F" w14:textId="077D35B2" w:rsidR="00C9799E" w:rsidRDefault="00C9799E" w:rsidP="002C560C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Entrega de informe mensual de actividades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verificación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cumpli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mi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ento de actividades según cronograma: 1. Manuales de funcionamiento y cumplimento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estándares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habilitación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según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la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resolución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3100 de 2019. Indicador; Documento 3.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2. Convenios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y/o contratos con hospitales, secretarias de salud y demás entidades para la lectura de muestras. </w:t>
            </w:r>
          </w:p>
          <w:p w14:paraId="4C63AD7E" w14:textId="77777777" w:rsidR="00C413C6" w:rsidRPr="00AB37AB" w:rsidRDefault="00C413C6" w:rsidP="002C560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413C6" w14:paraId="7DB8E1B0" w14:textId="77777777" w:rsidTr="001018DD">
        <w:trPr>
          <w:trHeight w:val="25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F2C7D5" w14:textId="422736CF" w:rsidR="00C413C6" w:rsidRDefault="00C9799E" w:rsidP="00C9799E">
            <w:pPr>
              <w:spacing w:line="72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425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00F77B" w14:textId="2CBA808D" w:rsidR="00C9799E" w:rsidRDefault="00C9799E" w:rsidP="002C560C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Manuales y documentos requeridos para funcionamiento según requerimiento de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habilitación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derivado de la </w:t>
            </w:r>
            <w:r w:rsidR="002C560C">
              <w:rPr>
                <w:rFonts w:ascii="Cambria" w:hAnsi="Cambria" w:cs="Calibri"/>
                <w:color w:val="000000"/>
                <w:sz w:val="20"/>
                <w:szCs w:val="20"/>
              </w:rPr>
              <w:t>Resolución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3100 de 2019 y las normas que la complementen o sustituyan. Documento.</w:t>
            </w:r>
          </w:p>
          <w:p w14:paraId="58E9002F" w14:textId="77777777" w:rsidR="00C413C6" w:rsidRPr="00AB37AB" w:rsidRDefault="00C413C6" w:rsidP="002C560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84A57" w14:paraId="6465D5E6" w14:textId="77777777" w:rsidTr="001018DD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BB258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lastRenderedPageBreak/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B84A57" w:rsidRPr="000954A9" w14:paraId="04E302E8" w14:textId="77777777" w:rsidTr="001018DD">
        <w:trPr>
          <w:trHeight w:val="270"/>
        </w:trPr>
        <w:tc>
          <w:tcPr>
            <w:tcW w:w="272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BC30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7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C1A6" w14:textId="77777777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730539F1" w14:textId="77777777" w:rsidTr="001018DD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3F32CAA" w14:textId="64076BAC" w:rsidR="00B84A57" w:rsidRPr="000954A9" w:rsidRDefault="00B84A57" w:rsidP="00023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O.P.S.</w:t>
            </w:r>
          </w:p>
        </w:tc>
      </w:tr>
      <w:tr w:rsidR="00B84A57" w:rsidRPr="000954A9" w14:paraId="496EA6DC" w14:textId="77777777" w:rsidTr="001018DD">
        <w:trPr>
          <w:trHeight w:val="255"/>
        </w:trPr>
        <w:tc>
          <w:tcPr>
            <w:tcW w:w="3453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7A1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15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76AC" w14:textId="3C363F84" w:rsidR="00B84A57" w:rsidRPr="000954A9" w:rsidRDefault="0002351C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</w:t>
            </w:r>
            <w:r w:rsidR="004505D9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de </w:t>
            </w:r>
            <w:r w:rsidR="002C560C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Abril 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de 2022</w:t>
            </w:r>
          </w:p>
        </w:tc>
      </w:tr>
      <w:tr w:rsidR="00B84A57" w:rsidRPr="000954A9" w14:paraId="12B508EC" w14:textId="77777777" w:rsidTr="001018DD">
        <w:trPr>
          <w:trHeight w:val="255"/>
        </w:trPr>
        <w:tc>
          <w:tcPr>
            <w:tcW w:w="3453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1DC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15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C9E3" w14:textId="2826C84A" w:rsidR="00B84A57" w:rsidRPr="000954A9" w:rsidRDefault="0002351C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 al 20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</w:t>
            </w:r>
            <w:r w:rsidR="004305F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de </w:t>
            </w:r>
            <w:r w:rsidR="0048375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Abril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2022</w:t>
            </w:r>
          </w:p>
        </w:tc>
      </w:tr>
      <w:tr w:rsidR="00B84A57" w:rsidRPr="000954A9" w14:paraId="6C804BCD" w14:textId="77777777" w:rsidTr="001018DD">
        <w:trPr>
          <w:trHeight w:val="255"/>
        </w:trPr>
        <w:tc>
          <w:tcPr>
            <w:tcW w:w="3453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F829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15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42019" w14:textId="5F11CED4" w:rsidR="00B84A57" w:rsidRPr="000954A9" w:rsidRDefault="0002351C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21</w:t>
            </w:r>
            <w:r w:rsidR="00835590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de </w:t>
            </w:r>
            <w:r w:rsidR="0048375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Abril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4912F511" w14:textId="77777777" w:rsidTr="001018DD">
        <w:trPr>
          <w:trHeight w:val="255"/>
        </w:trPr>
        <w:tc>
          <w:tcPr>
            <w:tcW w:w="3453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6E5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15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9690" w14:textId="3643F842" w:rsidR="00B84A57" w:rsidRPr="000954A9" w:rsidRDefault="0002351C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22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 w:rsidR="00483751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Abril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de 202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3AEEE873" w14:textId="77777777" w:rsidTr="001018DD">
        <w:trPr>
          <w:trHeight w:val="270"/>
        </w:trPr>
        <w:tc>
          <w:tcPr>
            <w:tcW w:w="272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672" w14:textId="77777777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7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987F" w14:textId="1EA25844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29741A70" w14:textId="77777777" w:rsidTr="001018DD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A5852F9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B84A57" w:rsidRPr="00ED2D0D" w14:paraId="5A80BA4A" w14:textId="77777777" w:rsidTr="001018DD">
        <w:trPr>
          <w:trHeight w:val="68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W w:w="104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9963"/>
            </w:tblGrid>
            <w:tr w:rsidR="00B84A57" w:rsidRPr="00AC3DC4" w14:paraId="35ABD84B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6F77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#</w:t>
                  </w:r>
                </w:p>
              </w:tc>
              <w:tc>
                <w:tcPr>
                  <w:tcW w:w="9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02E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DOCUMENTACIÓN</w:t>
                  </w:r>
                </w:p>
              </w:tc>
            </w:tr>
            <w:tr w:rsidR="00B84A57" w:rsidRPr="00AC3DC4" w14:paraId="10A81C2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8BA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AD69D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Hoja de Vida con fotografía de 3x4 a color y sus respectivos anexos</w:t>
                  </w:r>
                </w:p>
              </w:tc>
            </w:tr>
            <w:tr w:rsidR="00B84A57" w:rsidRPr="00AC3DC4" w14:paraId="7D798EAC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CDB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46AF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Certificados laborales relacionando fecha de inicio y terminación</w:t>
                  </w:r>
                </w:p>
              </w:tc>
            </w:tr>
            <w:tr w:rsidR="00B84A57" w:rsidRPr="00AC3DC4" w14:paraId="20CBE66F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35A4A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BA1D2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(1)</w:t>
                  </w: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de Cedula de Ciudadanía o extranjería vigente al 150%</w:t>
                  </w:r>
                </w:p>
              </w:tc>
            </w:tr>
            <w:tr w:rsidR="00B84A57" w:rsidRPr="00AC3DC4" w14:paraId="566F5216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EE97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EE86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Libreta Militar al 150% (si aplica)</w:t>
                  </w:r>
                </w:p>
              </w:tc>
            </w:tr>
            <w:tr w:rsidR="00B84A57" w:rsidRPr="00AC3DC4" w14:paraId="772C0850" w14:textId="77777777" w:rsidTr="00B84A57">
              <w:trPr>
                <w:trHeight w:val="36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F3CE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933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B84A57" w:rsidRPr="00AC3DC4" w14:paraId="0D8B2330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7ED81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53A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Resolución de convalidación del MEN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si aplica.</w:t>
                  </w:r>
                </w:p>
              </w:tc>
            </w:tr>
            <w:tr w:rsidR="00B84A57" w:rsidRPr="00AC3DC4" w14:paraId="6D5F0C3C" w14:textId="77777777" w:rsidTr="00B84A57">
              <w:trPr>
                <w:trHeight w:val="10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95FF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1BE5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fondo de pensiones actualizado (vigencia menor a 30 días)</w:t>
                  </w:r>
                </w:p>
              </w:tc>
            </w:tr>
            <w:tr w:rsidR="00B84A57" w:rsidRPr="00AC3DC4" w14:paraId="42695EF9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5726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D48AA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ARL actualizado</w:t>
                  </w:r>
                </w:p>
              </w:tc>
            </w:tr>
            <w:tr w:rsidR="00B84A57" w:rsidRPr="00AC3DC4" w14:paraId="2A078022" w14:textId="77777777" w:rsidTr="00B84A57">
              <w:trPr>
                <w:trHeight w:val="237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5FA8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8AC6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B84A57" w:rsidRPr="00AC3DC4" w14:paraId="5985278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66A7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FE65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Registro Único Tributario actualizado</w:t>
                  </w:r>
                </w:p>
              </w:tc>
            </w:tr>
            <w:tr w:rsidR="00B84A57" w:rsidRPr="00AC3DC4" w14:paraId="4488FF43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5BA2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4904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Compromiso de confidencialidad  (Formato 4)</w:t>
                  </w:r>
                </w:p>
              </w:tc>
            </w:tr>
            <w:tr w:rsidR="00B84A57" w:rsidRPr="00AC3DC4" w14:paraId="0B5ECFED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7AE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5699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Formato de Seguridad Social (Formato 3)</w:t>
                  </w:r>
                </w:p>
              </w:tc>
            </w:tr>
            <w:tr w:rsidR="00B84A57" w:rsidRPr="00AC3DC4" w14:paraId="207105F0" w14:textId="77777777" w:rsidTr="00B84A57">
              <w:trPr>
                <w:trHeight w:val="3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6E3F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134BE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2AFD8269" w14:textId="77777777" w:rsidR="00B84A57" w:rsidRPr="00ED2D0D" w:rsidRDefault="00B84A57" w:rsidP="00240384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B84A57" w:rsidRPr="00A50A05" w14:paraId="62E8266C" w14:textId="77777777" w:rsidTr="001018DD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79DA9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84A57" w:rsidRPr="00A50A05" w14:paraId="3F35E939" w14:textId="77777777" w:rsidTr="001018DD">
        <w:trPr>
          <w:trHeight w:val="270"/>
        </w:trPr>
        <w:tc>
          <w:tcPr>
            <w:tcW w:w="17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16E8C1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2667" w:type="pct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EC270E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A31023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AEF690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84A57" w14:paraId="489600CF" w14:textId="77777777" w:rsidTr="001018DD">
        <w:trPr>
          <w:trHeight w:val="270"/>
        </w:trPr>
        <w:tc>
          <w:tcPr>
            <w:tcW w:w="171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113AA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26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9C2012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1873F09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8A16B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5C77F237" w14:textId="77777777" w:rsidTr="001018DD">
        <w:trPr>
          <w:trHeight w:val="270"/>
        </w:trPr>
        <w:tc>
          <w:tcPr>
            <w:tcW w:w="1710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E3FC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C0BC5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27C5A83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9142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7DCEB025" w14:textId="77777777" w:rsidTr="001018DD">
        <w:trPr>
          <w:trHeight w:val="270"/>
        </w:trPr>
        <w:tc>
          <w:tcPr>
            <w:tcW w:w="171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940917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2D7A6A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DBE2427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DC3D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615493C2" w14:textId="77777777" w:rsidTr="001018DD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487F9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B84A57" w:rsidRPr="00A50A05" w14:paraId="3CFF0871" w14:textId="77777777" w:rsidTr="001018DD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55EB5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Entrevista</w:t>
            </w:r>
          </w:p>
        </w:tc>
      </w:tr>
      <w:tr w:rsidR="00B84A57" w14:paraId="03E1C302" w14:textId="77777777" w:rsidTr="001018DD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F3A3DB" w14:textId="0DD66BD9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992A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Prueba técnica que será aplicada solamente en caso de empate en la entrevista. </w:t>
            </w:r>
          </w:p>
        </w:tc>
      </w:tr>
      <w:tr w:rsidR="00B84A57" w:rsidRPr="000954A9" w14:paraId="112F4CC6" w14:textId="77777777" w:rsidTr="001018DD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2CAEB" w14:textId="7A315304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interesados deben 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físico la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documentación que se solicita en el documento anexo de convocatoria, en la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la Jefatura de la División de laboratorios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Campus Nueva Granada KM 2 Vía Cajicá - Zipaquirá. PBX 6500000 ext. 3081 (Edif.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Laboratorios fase 2-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2), dentro del término establecido.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Funcionario: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Adriana Fonseca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9 am – 4pm.</w:t>
            </w:r>
          </w:p>
        </w:tc>
      </w:tr>
    </w:tbl>
    <w:p w14:paraId="67B94883" w14:textId="77777777" w:rsidR="00C8685A" w:rsidRPr="00C8685A" w:rsidRDefault="00C8685A" w:rsidP="00C8685A"/>
    <w:p w14:paraId="3F738F18" w14:textId="77777777" w:rsidR="00C8685A" w:rsidRPr="00C8685A" w:rsidRDefault="00C8685A" w:rsidP="00C8685A"/>
    <w:p w14:paraId="318D10B2" w14:textId="77777777" w:rsidR="00C8685A" w:rsidRPr="00C8685A" w:rsidRDefault="00C8685A" w:rsidP="00C8685A"/>
    <w:p w14:paraId="4AEA5FD7" w14:textId="0BC64845" w:rsidR="00C8685A" w:rsidRDefault="00C8685A" w:rsidP="00C8685A"/>
    <w:p w14:paraId="50CF3D1B" w14:textId="0BC64845" w:rsidR="007B11A4" w:rsidRPr="00C8685A" w:rsidRDefault="00C8685A" w:rsidP="00C8685A">
      <w:pPr>
        <w:tabs>
          <w:tab w:val="left" w:pos="3168"/>
        </w:tabs>
      </w:pPr>
      <w:r>
        <w:tab/>
      </w:r>
    </w:p>
    <w:sectPr w:rsidR="007B11A4" w:rsidRPr="00C8685A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1865" w14:textId="77777777" w:rsidR="00AA115A" w:rsidRDefault="00AA115A" w:rsidP="007B11A4">
      <w:r>
        <w:separator/>
      </w:r>
    </w:p>
  </w:endnote>
  <w:endnote w:type="continuationSeparator" w:id="0">
    <w:p w14:paraId="34E604DC" w14:textId="77777777" w:rsidR="00AA115A" w:rsidRDefault="00AA115A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7EFB51BD" w:rsidR="00256A4B" w:rsidRDefault="008C0A8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3" behindDoc="0" locked="0" layoutInCell="1" allowOverlap="1" wp14:anchorId="2A4AEC8F" wp14:editId="2CB6587F">
          <wp:simplePos x="0" y="0"/>
          <wp:positionH relativeFrom="column">
            <wp:posOffset>2748948</wp:posOffset>
          </wp:positionH>
          <wp:positionV relativeFrom="paragraph">
            <wp:posOffset>-391795</wp:posOffset>
          </wp:positionV>
          <wp:extent cx="3536983" cy="872183"/>
          <wp:effectExtent l="0" t="0" r="0" b="0"/>
          <wp:wrapNone/>
          <wp:docPr id="2" name="Imagen 2" descr="/Volumes/LaCie/MAC 4/001 Institucional/Logos Institucionales/logos icontec 202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83" cy="87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52CE1BD3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06696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Bogotá, </w:t>
                          </w:r>
                          <w:r w:rsidR="0006696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Carrera 11 n.º 101-80,</w:t>
                          </w:r>
                        </w:p>
                        <w:p w14:paraId="0F8884B9" w14:textId="347DD608" w:rsidR="00256A4B" w:rsidRPr="001B334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="00256A4B"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256A4B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833AE7" w:rsidRDefault="00AA11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256A4B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833A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256A4B" w:rsidRPr="001B3343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256A4B" w:rsidRPr="001B3343" w:rsidRDefault="00256A4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3YAIAADQFAAAOAAAAZHJzL2Uyb0RvYy54bWysVEtv2zAMvg/YfxB0X5xkaZsZdYqsRYYB&#10;RVusHXpWZCkxJouaxMTOfn0p2Xms26XDLjbFl8iPH3V51daGbZUPFdiCjwZDzpSVUFZ2VfDvT4sP&#10;U84CClsKA1YVfKcCv5q9f3fZuFyNYQ2mVJ5REhvyxhV8jejyLAtyrWoRBuCUJaMGXwuko19lpRcN&#10;Za9NNh4Oz7MGfOk8SBUCaW86I5+l/ForifdaB4XMFJxqw/T16buM32x2KfKVF25dyb4M8Q9V1KKy&#10;dOkh1Y1AwTa++iNVXUkPATQOJNQZaF1JlXqgbkbDV908roVTqRcCJ7gDTOH/pZV320f34Bm2n6Gl&#10;AUZAGhfyQMrYT6t9Hf9UKSM7Qbg7wKZaZJKU44vJR5oFZ5Js59OzKcmUJjtGOx/wi4KaRaHgnsaS&#10;0BLb24Cd694lXmZhURmTRmPsbwrK2WlUmm0ffSw4SbgzKkYZ+01pVpWp7qhIrFLXxrOtID4IKZXF&#10;1HLKS97RS9Pdbwns/WNoV9Vbgg8R6WaweAiuKws+ofSq7PLHvmTd+RPUJ31HEdtl2w9yCeWO5uuh&#10;o35wclHREG5FwAfhies0N9pfvKePNtAUHHqJszX4X3/TR3+iIFk5a2h3Ch5+boRXnJmvlsj5aTSZ&#10;xGVLh8nZxZgO/tSyPLXYTX0NNI4RvRROJjH6o9mL2kP9TGs+j7eSSVhJdxcc9+I1dhtNz4RU83ly&#10;ovVyAm/to5MxdYQ3UuypfRbe9TxEYvAd7LdM5K/o2PnGSAvzDYKuElcjwB2qPfC0mont/TMSd//0&#10;nLyOj93sBQAA//8DAFBLAwQUAAYACAAAACEA7r7yid4AAAALAQAADwAAAGRycy9kb3ducmV2Lnht&#10;bEyPQU/DMAyF70j8h8hI3Lako0SjNJ0QiCuIAZO4ZY3XVjRO1WRr+fd4J7jZfk/P3ys3s+/FCcfY&#10;BTKQLRUIpDq4jhoDH+/PizWImCw52wdCAz8YYVNdXpS2cGGiNzxtUyM4hGJhDbQpDYWUsW7R27gM&#10;AxJrhzB6m3gdG+lGO3G47+VKKS297Yg/tHbAxxbr7+3RG/h8OXztcvXaPPnbYQqzkuTvpDHXV/PD&#10;PYiEc/ozwxmf0aFipn04kouiN7DIVprLJJ60zkGw5UadL3sDeaZBVqX836H6BQAA//8DAFBLAQIt&#10;ABQABgAIAAAAIQC2gziS/gAAAOEBAAATAAAAAAAAAAAAAAAAAAAAAABbQ29udGVudF9UeXBlc10u&#10;eG1sUEsBAi0AFAAGAAgAAAAhADj9If/WAAAAlAEAAAsAAAAAAAAAAAAAAAAALwEAAF9yZWxzLy5y&#10;ZWxzUEsBAi0AFAAGAAgAAAAhAEGwzLdgAgAANAUAAA4AAAAAAAAAAAAAAAAALgIAAGRycy9lMm9E&#10;b2MueG1sUEsBAi0AFAAGAAgAAAAhAO6+8oneAAAACwEAAA8AAAAAAAAAAAAAAAAAugQAAGRycy9k&#10;b3ducmV2LnhtbFBLBQYAAAAABAAEAPMAAADFBQAAAAA=&#10;" filled="f" stroked="f">
              <v:textbox>
                <w:txbxContent>
                  <w:p w14:paraId="74522CAB" w14:textId="6CE8A7E4" w:rsidR="0006696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Bogotá, </w:t>
                    </w:r>
                    <w:r w:rsidR="0006696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Carrera 11 n.º 101-80,</w:t>
                    </w:r>
                  </w:p>
                  <w:p w14:paraId="0F8884B9" w14:textId="347DD608" w:rsidR="00256A4B" w:rsidRPr="001B334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="00256A4B"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256A4B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833AE7" w:rsidRDefault="00FD0EE6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256A4B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833A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256A4B" w:rsidRPr="001B3343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256A4B" w:rsidRPr="001B3343" w:rsidRDefault="00256A4B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AEEC59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3F83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C54C5" w14:textId="77777777" w:rsidR="00AA115A" w:rsidRDefault="00AA115A" w:rsidP="007B11A4">
      <w:r>
        <w:separator/>
      </w:r>
    </w:p>
  </w:footnote>
  <w:footnote w:type="continuationSeparator" w:id="0">
    <w:p w14:paraId="22E396F4" w14:textId="77777777" w:rsidR="00AA115A" w:rsidRDefault="00AA115A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AA115A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256A4B" w:rsidRDefault="00256A4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E239C20">
          <wp:simplePos x="0" y="0"/>
          <wp:positionH relativeFrom="column">
            <wp:posOffset>2249805</wp:posOffset>
          </wp:positionH>
          <wp:positionV relativeFrom="paragraph">
            <wp:posOffset>-293370</wp:posOffset>
          </wp:positionV>
          <wp:extent cx="1115695" cy="1115695"/>
          <wp:effectExtent l="0" t="0" r="190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2EA"/>
    <w:multiLevelType w:val="hybridMultilevel"/>
    <w:tmpl w:val="13006EFA"/>
    <w:lvl w:ilvl="0" w:tplc="E0DA87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1252C"/>
    <w:multiLevelType w:val="hybridMultilevel"/>
    <w:tmpl w:val="FE722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10D87"/>
    <w:rsid w:val="00014044"/>
    <w:rsid w:val="0002351C"/>
    <w:rsid w:val="00066963"/>
    <w:rsid w:val="000D04DA"/>
    <w:rsid w:val="000F2800"/>
    <w:rsid w:val="000F56E9"/>
    <w:rsid w:val="001018DD"/>
    <w:rsid w:val="001212FF"/>
    <w:rsid w:val="0013447E"/>
    <w:rsid w:val="001B14E2"/>
    <w:rsid w:val="001B3343"/>
    <w:rsid w:val="001B5C5D"/>
    <w:rsid w:val="001C04B3"/>
    <w:rsid w:val="00256A4B"/>
    <w:rsid w:val="00272371"/>
    <w:rsid w:val="0027609D"/>
    <w:rsid w:val="002C560C"/>
    <w:rsid w:val="003B7B3B"/>
    <w:rsid w:val="003C6CCF"/>
    <w:rsid w:val="003D20E3"/>
    <w:rsid w:val="0040018E"/>
    <w:rsid w:val="004305F1"/>
    <w:rsid w:val="004505D9"/>
    <w:rsid w:val="00483751"/>
    <w:rsid w:val="004A4D42"/>
    <w:rsid w:val="004B3B6A"/>
    <w:rsid w:val="00513500"/>
    <w:rsid w:val="00526E58"/>
    <w:rsid w:val="0056730C"/>
    <w:rsid w:val="005E79B8"/>
    <w:rsid w:val="00677522"/>
    <w:rsid w:val="006870C3"/>
    <w:rsid w:val="006B0920"/>
    <w:rsid w:val="00705896"/>
    <w:rsid w:val="00744821"/>
    <w:rsid w:val="007B11A4"/>
    <w:rsid w:val="00810390"/>
    <w:rsid w:val="00825C74"/>
    <w:rsid w:val="00833AE7"/>
    <w:rsid w:val="00835590"/>
    <w:rsid w:val="008821A8"/>
    <w:rsid w:val="008C0A8D"/>
    <w:rsid w:val="008D3D0C"/>
    <w:rsid w:val="008E6E99"/>
    <w:rsid w:val="00917A21"/>
    <w:rsid w:val="00992A11"/>
    <w:rsid w:val="009A1663"/>
    <w:rsid w:val="009D11DA"/>
    <w:rsid w:val="00AA115A"/>
    <w:rsid w:val="00AB37AB"/>
    <w:rsid w:val="00AE2701"/>
    <w:rsid w:val="00B60452"/>
    <w:rsid w:val="00B668C2"/>
    <w:rsid w:val="00B84A57"/>
    <w:rsid w:val="00B84B11"/>
    <w:rsid w:val="00B90657"/>
    <w:rsid w:val="00B95729"/>
    <w:rsid w:val="00BC4A23"/>
    <w:rsid w:val="00BE43B3"/>
    <w:rsid w:val="00C026FC"/>
    <w:rsid w:val="00C10A2E"/>
    <w:rsid w:val="00C413C6"/>
    <w:rsid w:val="00C555AB"/>
    <w:rsid w:val="00C674C4"/>
    <w:rsid w:val="00C8685A"/>
    <w:rsid w:val="00C91853"/>
    <w:rsid w:val="00C9799E"/>
    <w:rsid w:val="00CA3BE0"/>
    <w:rsid w:val="00CC38C1"/>
    <w:rsid w:val="00CE42F3"/>
    <w:rsid w:val="00D45C86"/>
    <w:rsid w:val="00D810B2"/>
    <w:rsid w:val="00E52431"/>
    <w:rsid w:val="00E53DC4"/>
    <w:rsid w:val="00E602B7"/>
    <w:rsid w:val="00EA12B0"/>
    <w:rsid w:val="00EF2C52"/>
    <w:rsid w:val="00F11973"/>
    <w:rsid w:val="00F73792"/>
    <w:rsid w:val="00FB178D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B84A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Default">
    <w:name w:val="Default"/>
    <w:rsid w:val="001B14E2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193EDF"/>
    <w:rsid w:val="001C5243"/>
    <w:rsid w:val="001F57DB"/>
    <w:rsid w:val="00284686"/>
    <w:rsid w:val="00330DE1"/>
    <w:rsid w:val="003C3498"/>
    <w:rsid w:val="004D7994"/>
    <w:rsid w:val="00553CE5"/>
    <w:rsid w:val="00582AC8"/>
    <w:rsid w:val="00697AF6"/>
    <w:rsid w:val="007849F9"/>
    <w:rsid w:val="008617AC"/>
    <w:rsid w:val="008B5274"/>
    <w:rsid w:val="00990666"/>
    <w:rsid w:val="00A50CC6"/>
    <w:rsid w:val="00B86C99"/>
    <w:rsid w:val="00CC54D5"/>
    <w:rsid w:val="00D6069E"/>
    <w:rsid w:val="00EA0887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654BD-92DF-4520-9CF4-D67B1DC1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Laura Susana Silva Mejia</cp:lastModifiedBy>
  <cp:revision>2</cp:revision>
  <dcterms:created xsi:type="dcterms:W3CDTF">2022-04-18T20:57:00Z</dcterms:created>
  <dcterms:modified xsi:type="dcterms:W3CDTF">2022-04-18T20:57:00Z</dcterms:modified>
  <cp:category/>
</cp:coreProperties>
</file>